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Grief and compassionate listening</w:t>
      </w:r>
    </w:p>
    <w:p>
      <w:pPr>
        <w:pStyle w:val="Subtitle"/>
      </w:pPr>
      <w:r>
        <w:t>A Sawubona community resource</w:t>
      </w:r>
    </w:p>
    <w:p>
      <w:pPr>
        <w:pStyle w:val="Heading2"/>
      </w:pPr>
      <w:r>
        <w:t>Seeing the person behind the silence</w:t>
      </w:r>
    </w:p>
    <w:p>
      <w:pPr>
        <w:spacing w:after="220"/>
      </w:pPr>
      <w:r>
        <w:rPr>
          <w:b/>
          <w:sz w:val="24"/>
        </w:rPr>
        <w:t>We can notice an unanswered message. The meaning we attach to it is still a guess.</w:t>
      </w:r>
    </w:p>
    <w:p>
      <w:pPr>
        <w:spacing w:after="220"/>
      </w:pPr>
      <w:r>
        <w:rPr>
          <w:sz w:val="24"/>
        </w:rPr>
        <w:t>Someone who has gone quiet may be dealing with loss, exhaustion or a need for space. They may also have an explanation we have never considered. A gentle invitation gives them room to speak for themselves.</w:t>
      </w:r>
    </w:p>
    <w:p>
      <w:pPr>
        <w:spacing w:after="220"/>
      </w:pPr>
      <w:r>
        <w:rPr>
          <w:sz w:val="24"/>
        </w:rPr>
        <w:t>For someone living with grief, an ordinary moment can suddenly feel different. A familiar song or a celebration may bring the absence close again. Feelings can change unexpectedly, and there is no required order for them. [1]</w:t>
      </w:r>
    </w:p>
    <w:p>
      <w:pPr>
        <w:spacing w:after="220"/>
      </w:pPr>
      <w:r>
        <w:rPr>
          <w:sz w:val="24"/>
        </w:rPr>
        <w:t>At Sawubona, we practise seeing and hearing the person without demanding an explanation. We can ask, "Would some company help, or would you prefer some space today?"</w:t>
      </w:r>
    </w:p>
    <w:p>
      <w:pPr>
        <w:spacing w:after="220"/>
      </w:pPr>
      <w:r>
        <w:rPr>
          <w:sz w:val="24"/>
        </w:rPr>
        <w:t>When they choose to speak, let them finish. When they choose silence, respect it. Offer practical help you can give, and ask before arranging anything.</w:t>
      </w:r>
    </w:p>
    <w:p>
      <w:pPr>
        <w:spacing w:after="220"/>
      </w:pPr>
      <w:r>
        <w:rPr>
          <w:sz w:val="24"/>
        </w:rPr>
        <w:t>If you are grieving, you can say what would help today. You are allowed to change your mind, keep a memory private or share a laugh without explaining yourself.</w:t>
      </w:r>
    </w:p>
    <w:p>
      <w:pPr>
        <w:spacing w:after="220"/>
      </w:pPr>
      <w:r>
        <w:rPr>
          <w:b/>
          <w:sz w:val="24"/>
        </w:rPr>
        <w:t>Make one kind invitation today, and leave the other person free to choose.</w:t>
      </w:r>
    </w:p>
    <w:p>
      <w:r>
        <w:rPr>
          <w:b/>
        </w:rPr>
        <w:t>Sawubona. I see you. I hear you.</w:t>
      </w:r>
    </w:p>
    <w:p>
      <w:r>
        <w:rPr>
          <w:sz w:val="18"/>
        </w:rPr>
        <w:t>Share this opening reflection, or use the following pages to guide a conversation or group activity. References are on page 3.</w:t>
      </w:r>
    </w:p>
    <w:p>
      <w:r>
        <w:br w:type="page"/>
      </w:r>
    </w:p>
    <w:p>
      <w:pPr>
        <w:pStyle w:val="Heading1"/>
      </w:pPr>
      <w:r>
        <w:t>A caring conversation</w:t>
      </w:r>
    </w:p>
    <w:p>
      <w:r>
        <w:t>Use this guide with an adult who is willing to talk. Aim to understand their experience and agree support they want. The Sawubona practice is to ask before advising.</w:t>
      </w:r>
    </w:p>
    <w:p>
      <w:pPr>
        <w:pStyle w:val="Heading2"/>
      </w:pPr>
      <w:r>
        <w:t>1  Check your story</w:t>
      </w:r>
    </w:p>
    <w:p>
      <w:r>
        <w:t>"I sent a message on Monday and have not had a reply" is an observation. "They are rejecting me" is an interpretation. Keep them separate; ask rather than diagnose.</w:t>
      </w:r>
    </w:p>
    <w:p>
      <w:pPr>
        <w:pStyle w:val="Heading2"/>
      </w:pPr>
      <w:r>
        <w:t>2  Ask with permission</w:t>
      </w:r>
    </w:p>
    <w:p>
      <w:r>
        <w:t>"Is now a good moment for a check-in? You can say no." Choose a private place and be honest about how much time you have.</w:t>
      </w:r>
    </w:p>
    <w:p>
      <w:pPr>
        <w:pStyle w:val="Heading2"/>
      </w:pPr>
      <w:r>
        <w:t>3  Listen and check</w:t>
      </w:r>
    </w:p>
    <w:p>
      <w:r>
        <w:t>"It sounds as though evenings have been especially difficult. Have I understood?" Let them correct you. Allow pauses; ask before discussing memories, faith or family.</w:t>
      </w:r>
    </w:p>
    <w:p>
      <w:pPr>
        <w:pStyle w:val="Heading2"/>
      </w:pPr>
      <w:r>
        <w:t>4  Offer a choice</w:t>
      </w:r>
    </w:p>
    <w:p>
      <w:r>
        <w:t>"Would you like me to listen, help with something practical, or help you find other support?" Offer one specific task you can fulfil. Ask before giving advice or involving anyone else. [2]</w:t>
      </w:r>
    </w:p>
    <w:p>
      <w:pPr>
        <w:pStyle w:val="Heading2"/>
      </w:pPr>
      <w:r>
        <w:t>5  Agree the next contact</w:t>
      </w:r>
    </w:p>
    <w:p>
      <w:r>
        <w:t>"Would you like me to message again on Thursday?" Follow their preference and keep the commitment. If they decline contact, respect their boundary.</w:t>
      </w:r>
    </w:p>
    <w:p>
      <w:r>
        <w:rPr>
          <w:b/>
        </w:rPr>
        <w:t xml:space="preserve">When someone is grieving. </w:t>
      </w:r>
      <w:r>
        <w:t>Let them choose whether to talk about the person who died. Avoid instructions such as "Move on", comparisons with your own loss, or assurances about how they should feel.</w:t>
      </w:r>
    </w:p>
    <w:p>
      <w:r>
        <w:rPr>
          <w:b/>
        </w:rPr>
        <w:t xml:space="preserve">Care and limits. </w:t>
      </w:r>
      <w:r>
        <w:t>Keep personal information private. Explain that you may need to seek help if someone is in danger or a safeguarding concern arises. Compassion can sit alongside clear boundaries about harmful behaviour.</w:t>
      </w:r>
    </w:p>
    <w:p>
      <w:r>
        <w:rPr>
          <w:b/>
        </w:rPr>
        <w:t xml:space="preserve">When more support is needed. </w:t>
      </w:r>
      <w:r>
        <w:t>If distress is getting harder to manage or daily life is difficult, encourage contact with a healthcare professional or bereavement service. [1] In immediate danger, contact local emergency services and follow local safeguarding procedures. Do not manage an emergency alone.</w:t>
      </w:r>
    </w:p>
    <w:p>
      <w:r>
        <w:br w:type="page"/>
      </w:r>
    </w:p>
    <w:p>
      <w:pPr>
        <w:pStyle w:val="Heading1"/>
      </w:pPr>
      <w:r>
        <w:t>A thirty minute group activity</w:t>
      </w:r>
    </w:p>
    <w:p>
      <w:r>
        <w:t>For 4-12 adults. Use a facilitator confident in group listening and responding to distress. Choose a quiet, accessible space; bring paper, pens and a clock. Identify a safeguarding lead and current local support services. Participants may pass, step out or use only the fictional example. Do not record the session.</w:t>
      </w:r>
    </w:p>
    <w:tbl>
      <w:tblPr>
        <w:tblW w:type="auto" w:w="0"/>
        <w:jc w:val="center"/>
        <w:tblLayout w:type="fixed"/>
        <w:tblLook w:firstColumn="1" w:firstRow="1" w:lastColumn="0" w:lastRow="0" w:noHBand="0" w:noVBand="1" w:val="04A0"/>
      </w:tblPr>
      <w:tblGrid>
        <w:gridCol w:w="1008"/>
        <w:gridCol w:w="1930"/>
        <w:gridCol w:w="7056"/>
      </w:tblGrid>
      <w:tr>
        <w:trPr>
          <w:cantSplit/>
          <w:tblHeader/>
        </w:trPr>
        <w:tc>
          <w:tcPr>
            <w:tcW w:type="dxa" w:w="1008"/>
            <w:vAlign w:val="center"/>
            <w:tcBorders>
              <w:top w:val="single" w:sz="4" w:color="D9D9D9"/>
              <w:left w:val="single" w:sz="4" w:color="D9D9D9"/>
              <w:bottom w:val="single" w:sz="4" w:color="D9D9D9"/>
              <w:right w:val="single" w:sz="4" w:color="D9D9D9"/>
            </w:tcBorders>
            <w:shd w:fill="E6EDF0"/>
            <w:tcMar>
              <w:top w:w="85" w:type="dxa"/>
              <w:left w:w="85" w:type="dxa"/>
              <w:bottom w:w="85" w:type="dxa"/>
              <w:right w:w="85" w:type="dxa"/>
            </w:tcMar>
          </w:tcPr>
          <w:p>
            <w:pPr>
              <w:spacing w:after="20" w:line="257" w:lineRule="auto"/>
              <w:jc w:val="center"/>
            </w:pPr>
            <w:r>
              <w:rPr>
                <w:b/>
                <w:sz w:val="18"/>
              </w:rPr>
              <w:t>Time</w:t>
            </w:r>
          </w:p>
        </w:tc>
        <w:tc>
          <w:tcPr>
            <w:tcW w:type="dxa" w:w="1930"/>
            <w:vAlign w:val="center"/>
            <w:tcBorders>
              <w:top w:val="single" w:sz="4" w:color="D9D9D9"/>
              <w:left w:val="single" w:sz="4" w:color="D9D9D9"/>
              <w:bottom w:val="single" w:sz="4" w:color="D9D9D9"/>
              <w:right w:val="single" w:sz="4" w:color="D9D9D9"/>
            </w:tcBorders>
            <w:shd w:fill="E6EDF0"/>
            <w:tcMar>
              <w:top w:w="85" w:type="dxa"/>
              <w:left w:w="85" w:type="dxa"/>
              <w:bottom w:w="85" w:type="dxa"/>
              <w:right w:w="85" w:type="dxa"/>
            </w:tcMar>
          </w:tcPr>
          <w:p>
            <w:pPr>
              <w:spacing w:after="20" w:line="257" w:lineRule="auto"/>
            </w:pPr>
            <w:r>
              <w:rPr>
                <w:b/>
                <w:sz w:val="18"/>
              </w:rPr>
              <w:t>Activity</w:t>
            </w:r>
          </w:p>
        </w:tc>
        <w:tc>
          <w:tcPr>
            <w:tcW w:type="dxa" w:w="7056"/>
            <w:vAlign w:val="center"/>
            <w:tcBorders>
              <w:top w:val="single" w:sz="4" w:color="D9D9D9"/>
              <w:left w:val="single" w:sz="4" w:color="D9D9D9"/>
              <w:bottom w:val="single" w:sz="4" w:color="D9D9D9"/>
              <w:right w:val="single" w:sz="4" w:color="D9D9D9"/>
            </w:tcBorders>
            <w:shd w:fill="E6EDF0"/>
            <w:tcMar>
              <w:top w:w="85" w:type="dxa"/>
              <w:left w:w="85" w:type="dxa"/>
              <w:bottom w:w="85" w:type="dxa"/>
              <w:right w:w="85" w:type="dxa"/>
            </w:tcMar>
          </w:tcPr>
          <w:p>
            <w:pPr>
              <w:spacing w:after="20" w:line="257" w:lineRule="auto"/>
            </w:pPr>
            <w:r>
              <w:rPr>
                <w:b/>
                <w:sz w:val="18"/>
              </w:rPr>
              <w:t>Facilitator action</w:t>
            </w:r>
          </w:p>
        </w:tc>
      </w:tr>
      <w:tr>
        <w:trPr>
          <w:cantSplit/>
        </w:trPr>
        <w:tc>
          <w:tcPr>
            <w:tcW w:type="dxa" w:w="1008"/>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jc w:val="center"/>
            </w:pPr>
            <w:r>
              <w:rPr>
                <w:b w:val="0"/>
                <w:sz w:val="18"/>
              </w:rPr>
              <w:t>0-4 min</w:t>
            </w:r>
          </w:p>
        </w:tc>
        <w:tc>
          <w:tcPr>
            <w:tcW w:type="dxa" w:w="1930"/>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pPr>
            <w:r>
              <w:rPr>
                <w:b w:val="0"/>
                <w:sz w:val="18"/>
              </w:rPr>
              <w:t>Agree the space</w:t>
            </w:r>
          </w:p>
        </w:tc>
        <w:tc>
          <w:tcPr>
            <w:tcW w:type="dxa" w:w="7056"/>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pPr>
            <w:r>
              <w:rPr>
                <w:b w:val="0"/>
                <w:sz w:val="18"/>
              </w:rPr>
              <w:t>Explain the purpose, the right to pass and the limits of privacy when safety is at risk. Ask people to avoid sharing identifying details about others.</w:t>
            </w:r>
          </w:p>
        </w:tc>
      </w:tr>
      <w:tr>
        <w:trPr>
          <w:cantSplit/>
        </w:trPr>
        <w:tc>
          <w:tcPr>
            <w:tcW w:type="dxa" w:w="100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57" w:lineRule="auto"/>
              <w:jc w:val="center"/>
            </w:pPr>
            <w:r>
              <w:rPr>
                <w:b w:val="0"/>
                <w:sz w:val="18"/>
              </w:rPr>
              <w:t>4-9 min</w:t>
            </w:r>
          </w:p>
        </w:tc>
        <w:tc>
          <w:tcPr>
            <w:tcW w:type="dxa" w:w="193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57" w:lineRule="auto"/>
            </w:pPr>
            <w:r>
              <w:rPr>
                <w:b w:val="0"/>
                <w:sz w:val="18"/>
              </w:rPr>
              <w:t>Separate fact from story</w:t>
            </w:r>
          </w:p>
        </w:tc>
        <w:tc>
          <w:tcPr>
            <w:tcW w:type="dxa" w:w="705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57" w:lineRule="auto"/>
            </w:pPr>
            <w:r>
              <w:rPr>
                <w:b w:val="0"/>
                <w:sz w:val="18"/>
              </w:rPr>
              <w:t>Read the scenario below. On paper, make three columns: What I observed / The explanation I added / A respectful question I could ask.</w:t>
            </w:r>
          </w:p>
        </w:tc>
      </w:tr>
      <w:tr>
        <w:trPr>
          <w:cantSplit/>
        </w:trPr>
        <w:tc>
          <w:tcPr>
            <w:tcW w:type="dxa" w:w="1008"/>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jc w:val="center"/>
            </w:pPr>
            <w:r>
              <w:rPr>
                <w:b w:val="0"/>
                <w:sz w:val="18"/>
              </w:rPr>
              <w:t>9-19 min</w:t>
            </w:r>
          </w:p>
        </w:tc>
        <w:tc>
          <w:tcPr>
            <w:tcW w:type="dxa" w:w="1930"/>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pPr>
            <w:r>
              <w:rPr>
                <w:b w:val="0"/>
                <w:sz w:val="18"/>
              </w:rPr>
              <w:t>Practise listening</w:t>
            </w:r>
          </w:p>
        </w:tc>
        <w:tc>
          <w:tcPr>
            <w:tcW w:type="dxa" w:w="7056"/>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pPr>
            <w:r>
              <w:rPr>
                <w:b w:val="0"/>
                <w:sz w:val="18"/>
              </w:rPr>
              <w:t>In pairs, take turns as listener and speaker using the fictional scenario. Allow 4 minutes per turn, then 2 minutes together to discuss what helped.</w:t>
            </w:r>
          </w:p>
        </w:tc>
      </w:tr>
      <w:tr>
        <w:trPr>
          <w:cantSplit/>
        </w:trPr>
        <w:tc>
          <w:tcPr>
            <w:tcW w:type="dxa" w:w="100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57" w:lineRule="auto"/>
              <w:jc w:val="center"/>
            </w:pPr>
            <w:r>
              <w:rPr>
                <w:b w:val="0"/>
                <w:sz w:val="18"/>
              </w:rPr>
              <w:t>19-26 min</w:t>
            </w:r>
          </w:p>
        </w:tc>
        <w:tc>
          <w:tcPr>
            <w:tcW w:type="dxa" w:w="193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57" w:lineRule="auto"/>
            </w:pPr>
            <w:r>
              <w:rPr>
                <w:b w:val="0"/>
                <w:sz w:val="18"/>
              </w:rPr>
              <w:t>Make support concrete</w:t>
            </w:r>
          </w:p>
        </w:tc>
        <w:tc>
          <w:tcPr>
            <w:tcW w:type="dxa" w:w="705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57" w:lineRule="auto"/>
            </w:pPr>
            <w:r>
              <w:rPr>
                <w:b w:val="0"/>
                <w:sz w:val="18"/>
              </w:rPr>
              <w:t>Each pair creates one offer of practical help, checks permission and agrees whether a follow-up would be welcome. Share the wording without personal stories.</w:t>
            </w:r>
          </w:p>
        </w:tc>
      </w:tr>
      <w:tr>
        <w:trPr>
          <w:cantSplit/>
        </w:trPr>
        <w:tc>
          <w:tcPr>
            <w:tcW w:type="dxa" w:w="1008"/>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jc w:val="center"/>
            </w:pPr>
            <w:r>
              <w:rPr>
                <w:b w:val="0"/>
                <w:sz w:val="18"/>
              </w:rPr>
              <w:t>26-30 min</w:t>
            </w:r>
          </w:p>
        </w:tc>
        <w:tc>
          <w:tcPr>
            <w:tcW w:type="dxa" w:w="1930"/>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pPr>
            <w:r>
              <w:rPr>
                <w:b w:val="0"/>
                <w:sz w:val="18"/>
              </w:rPr>
              <w:t>Close gently</w:t>
            </w:r>
          </w:p>
        </w:tc>
        <w:tc>
          <w:tcPr>
            <w:tcW w:type="dxa" w:w="7056"/>
            <w:vAlign w:val="center"/>
            <w:tcBorders>
              <w:top w:val="single" w:sz="4" w:color="D9D9D9"/>
              <w:left w:val="single" w:sz="4" w:color="D9D9D9"/>
              <w:bottom w:val="single" w:sz="4" w:color="D9D9D9"/>
              <w:right w:val="single" w:sz="4" w:color="D9D9D9"/>
            </w:tcBorders>
            <w:shd w:fill="F5F7F7"/>
            <w:tcMar>
              <w:top w:w="85" w:type="dxa"/>
              <w:left w:w="85" w:type="dxa"/>
              <w:bottom w:w="85" w:type="dxa"/>
              <w:right w:w="85" w:type="dxa"/>
            </w:tcMar>
          </w:tcPr>
          <w:p>
            <w:pPr>
              <w:spacing w:after="20" w:line="257" w:lineRule="auto"/>
            </w:pPr>
            <w:r>
              <w:rPr>
                <w:b w:val="0"/>
                <w:sz w:val="18"/>
              </w:rPr>
              <w:t>Invite one voluntary learning point, with permission to pass. Remind people where they can seek local support and allow time for a private check-in.</w:t>
            </w:r>
          </w:p>
        </w:tc>
      </w:tr>
    </w:tbl>
    <w:p>
      <w:pPr>
        <w:spacing w:before="120" w:after="60"/>
      </w:pPr>
      <w:r>
        <w:rPr>
          <w:b/>
          <w:sz w:val="19"/>
        </w:rPr>
        <w:t xml:space="preserve">Fictional scenario. </w:t>
      </w:r>
      <w:r>
        <w:rPr>
          <w:sz w:val="19"/>
        </w:rPr>
        <w:t>A colleague has stopped joining lunch since a bereavement. You have begun assuming they want everyone to leave them alone. How could you check that assumption without asking them to explain their grief?</w:t>
      </w:r>
    </w:p>
    <w:p>
      <w:pPr>
        <w:spacing w:before="120" w:after="60"/>
      </w:pPr>
      <w:r>
        <w:rPr>
          <w:b/>
          <w:sz w:val="19"/>
        </w:rPr>
        <w:t xml:space="preserve">Reflection. </w:t>
      </w:r>
      <w:r>
        <w:rPr>
          <w:sz w:val="19"/>
        </w:rPr>
        <w:t>Ask yourself: Did I describe what I observed? Did I give the person a real choice? Did I check my understanding before offering help?</w:t>
      </w:r>
    </w:p>
    <w:p>
      <w:pPr>
        <w:spacing w:before="120" w:after="60"/>
      </w:pPr>
      <w:r>
        <w:rPr>
          <w:b/>
          <w:sz w:val="19"/>
        </w:rPr>
        <w:t xml:space="preserve">Scope. </w:t>
      </w:r>
      <w:r>
        <w:rPr>
          <w:sz w:val="19"/>
        </w:rPr>
        <w:t>Use these prompts for community listening, not for diagnosing or treating grief. Adapt language and customs with participants; do not require eye contact, touch or a particular way of expressing emotion.</w:t>
      </w:r>
    </w:p>
    <w:p>
      <w:pPr>
        <w:pStyle w:val="Heading2"/>
      </w:pPr>
      <w:r>
        <w:t>Sources and authorship</w:t>
      </w:r>
    </w:p>
    <w:p>
      <w:r>
        <w:rPr>
          <w:sz w:val="17"/>
        </w:rPr>
        <w:t>Prepared for Sawubona by Lloyd Munyaviri at L2M Coaching. The reflection, conversation prompts and group activity were written for this resource. General grief guidance was checked against the sources below on 21 October 2026.</w:t>
      </w:r>
    </w:p>
    <w:p>
      <w:pPr>
        <w:spacing w:after="60"/>
      </w:pPr>
      <w:r>
        <w:rPr>
          <w:sz w:val="17"/>
        </w:rPr>
        <w:t xml:space="preserve">[1] </w:t>
      </w:r>
      <w:hyperlink r:id="rId11">
        <w:r>
          <w:rPr>
            <w:color w:val="245E4B"/>
            <w:u w:val="single"/>
          </w:rPr>
          <w:t>NHS  Grief after bereavement or loss</w:t>
        </w:r>
      </w:hyperlink>
    </w:p>
    <w:p>
      <w:pPr>
        <w:spacing w:after="60"/>
      </w:pPr>
      <w:r>
        <w:rPr>
          <w:sz w:val="17"/>
        </w:rPr>
        <w:t xml:space="preserve">[2] </w:t>
      </w:r>
      <w:hyperlink r:id="rId12">
        <w:r>
          <w:rPr>
            <w:color w:val="245E4B"/>
            <w:u w:val="single"/>
          </w:rPr>
          <w:t>Cruse Bereavement Support  How to support someone who is grieving</w:t>
        </w:r>
      </w:hyperlink>
    </w:p>
    <w:sectPr w:rsidR="00FC693F" w:rsidRPr="0006063C" w:rsidSect="00034616">
      <w:headerReference w:type="default" r:id="rId9"/>
      <w:footerReference w:type="default" r:id="rId10"/>
      <w:pgSz w:w="12240" w:h="15840"/>
      <w:pgMar w:top="1037" w:right="1123" w:bottom="922" w:left="1123" w:header="403"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l2mcoaching.com  |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0000"/>
        <w:sz w:val="16"/>
      </w:rPr>
      <w:t>L2M Coaching  |  SAWUBONA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DejaVu Serif" w:hAnsi="DejaVu Serif"/>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DejaVu Serif" w:hAnsi="DejaVu Serif"/>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DejaVu Sans" w:hAnsi="DejaVu San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mental-health/feelings-symptoms-behaviours/feelings-and-symptoms/grief-bereavement-loss/" TargetMode="External"/><Relationship Id="rId12" Type="http://schemas.openxmlformats.org/officeDocument/2006/relationships/hyperlink" Target="https://assets.ctfassets.net/iqbixcpmwym2/1GGoNT78ywAxdZzD8bltzD/cdb6b1c2f40b1508daa6ce9dd117b677/Cruse_Grief_Hub_Support_Post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Sawubona Grief and Compassionate Listening</dc:title>
  <dc:subject>Community listening resource and facilitator activity</dc:subject>
  <dc:creator>L2M Coaching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